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w:t>
        <w:t xml:space="preserve">.  </w:t>
      </w:r>
      <w:r>
        <w:rPr>
          <w:b/>
        </w:rPr>
        <w:t xml:space="preserve">State rock</w:t>
      </w:r>
    </w:p>
    <w:p>
      <w:pPr>
        <w:jc w:val="both"/>
        <w:spacing w:before="100" w:after="100"/>
        <w:ind w:start="360"/>
        <w:ind w:firstLine="360"/>
      </w:pPr>
      <w:r>
        <w:rPr/>
      </w:r>
      <w:r>
        <w:rPr/>
      </w:r>
      <w:r>
        <w:t xml:space="preserve">Granitic pegmatite is the official state rock.</w:t>
      </w:r>
      <w:r>
        <w:t xml:space="preserve">  </w:t>
      </w:r>
      <w:r xmlns:wp="http://schemas.openxmlformats.org/drawingml/2010/wordprocessingDrawing" xmlns:w15="http://schemas.microsoft.com/office/word/2012/wordml">
        <w:rPr>
          <w:rFonts w:ascii="Arial" w:hAnsi="Arial" w:cs="Arial"/>
          <w:sz w:val="22"/>
          <w:szCs w:val="22"/>
        </w:rPr>
        <w:t xml:space="preserve">[PL 2023, c. 15,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§230. State rock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 State rock</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§230. STATE ROCK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