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Executive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 EXECUTIVE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