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235</w:t>
      </w:r>
    </w:p>
    <w:p>
      <w:pPr>
        <w:jc w:val="center"/>
        <w:ind w:start="360"/>
        <w:spacing w:before="300" w:after="300"/>
      </w:pPr>
      <w:r>
        <w:rPr>
          <w:b/>
        </w:rPr>
        <w:t xml:space="preserve">PAYMENT FOR HARVESTING WOOD</w:t>
      </w:r>
    </w:p>
    <w:p>
      <w:pPr>
        <w:jc w:val="both"/>
        <w:spacing w:before="100" w:after="100"/>
        <w:ind w:start="1080" w:hanging="720"/>
      </w:pPr>
      <w:r>
        <w:rPr>
          <w:b/>
        </w:rPr>
        <w:t>§</w:t>
        <w:t>1500-Q</w:t>
        <w:t xml:space="preserve">.  </w:t>
      </w:r>
      <w:r>
        <w:rPr>
          <w:b/>
        </w:rPr>
        <w:t xml:space="preserve">Payment for harvesting wood</w:t>
      </w:r>
    </w:p>
    <w:p>
      <w:pPr>
        <w:jc w:val="both"/>
        <w:spacing w:before="100" w:after="100"/>
        <w:ind w:start="360"/>
        <w:ind w:firstLine="360"/>
      </w:pPr>
      <w:r>
        <w:rPr/>
      </w:r>
      <w:r>
        <w:rPr/>
      </w:r>
      <w:r>
        <w:t xml:space="preserve">An entity that contracts with a person to harvest wood and place the wood roadside so that the entity is able to have the wood hauled away for use or processing must pay the person within 30 days of the person's fulfilling the contract and placing the wood roadside.  The Department of Agriculture, Conservation and Forestry or a person licensed to scale wood pursuant to </w:t>
      </w:r>
      <w:r>
        <w:t>section 2365‑A</w:t>
      </w:r>
      <w:r>
        <w:t xml:space="preserve"> under contract with the department shall conduct random inspections to ensure that entities are complying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235. PAYMENT FOR HARVESTING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235. PAYMENT FOR HARVESTING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235. PAYMENT FOR HARVESTING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