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salesperson of a dealer registered pursuant to Title 32, chapter 135 of stocks, bonds, debentures or securities representing stocks, bonds or debentures registered pursuant to Title 32, chapter 135 or expressly exempt from registration pursuant to Title 32, chapter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§22 (COR).]</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RR 2023, c. 2, Pt. C,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§1210-B.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§1210-B.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