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1243-A</w:t>
        <w:t xml:space="preserve">.  </w:t>
      </w:r>
      <w:r>
        <w:rPr>
          <w:b/>
        </w:rPr>
        <w:t xml:space="preserve">Unlawful sale of new personal sports mobile</w:t>
      </w:r>
    </w:p>
    <w:p>
      <w:pPr>
        <w:jc w:val="both"/>
        <w:spacing w:before="100" w:after="100"/>
        <w:ind w:start="360"/>
        <w:ind w:firstLine="360"/>
      </w:pPr>
      <w:r>
        <w:rPr/>
      </w:r>
      <w:r>
        <w:rPr/>
      </w:r>
      <w:r>
        <w:t xml:space="preserve">A person is guilty of unlawful sale of a new personal sports mobile if that person sells a new personal sports mobile and does not possess a current and valid franchise with the personal sports mobile manufacturer of the brand of new personal sports mobile being sold.  If, upon demand by a law enforcement officer, a person fails to produce evidence of a franchise required by this section, this failure is prima facie evidence that the person does not possess that franchise.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A person who violates this section commits a Class E crime and additionally is liable in any action brought for unfair methods of competition or unfair and deceptive trade practices for treble damages, which include, but are not limited to, damages related to warranty coverage.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This section may be enforced by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§1243-A. Unlawful sale of new personal sports 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§1243-A. Unlawful sale of new personal sports 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§1243-A. UNLAWFUL SALE OF NEW PERSONAL SPORTS 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