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§1250-F. Civil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§1250-F. CIVIL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