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1250-I</w:t>
        <w:t xml:space="preserve">.  </w:t>
      </w:r>
      <w:r>
        <w:rPr>
          <w:b/>
        </w:rPr>
        <w:t xml:space="preserve">Jurisdiction</w:t>
      </w:r>
    </w:p>
    <w:p>
      <w:pPr>
        <w:jc w:val="both"/>
        <w:spacing w:before="100" w:after="100"/>
        <w:ind w:start="360"/>
        <w:ind w:firstLine="360"/>
      </w:pPr>
      <w:r>
        <w:rPr/>
      </w:r>
      <w:r>
        <w:rPr/>
      </w:r>
      <w:r>
        <w:t xml:space="preserve">Any person who violates any provision of this chapter is subject to the jurisdiction of the courts of this State upon service of process in accordance with </w:t>
      </w:r>
      <w:r>
        <w:t>Title 14, chapter 203</w:t>
      </w:r>
      <w:r>
        <w:t xml:space="preserve"> and consistent with the maximum limits of due process as decided by the United States Supreme Court.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§1250-I.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§1250-I.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§1250-I.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