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Civil remedies</w:t>
      </w:r>
    </w:p>
    <w:p>
      <w:pPr>
        <w:jc w:val="both"/>
        <w:spacing w:before="100" w:after="100"/>
        <w:ind w:start="360"/>
        <w:ind w:firstLine="360"/>
      </w:pPr>
      <w:r>
        <w:rPr/>
      </w:r>
      <w:r>
        <w:rPr/>
      </w:r>
      <w:r>
        <w:t xml:space="preserve">A dealer, distributor or franchisee who has been damaged by violation of this chapter may bring an action to enjoin the violation and to recover damages arising from the violation.  A final judgment, order or decree rendered against a person in a civil, criminal or administrative proceeding under the federal antitrust laws, the Federal Trade Commission Act, this chapter or any other state law is regarded as prima facie evidence against that person, subject to the conditions under the federal antitrust laws, 15 United States Code, Section 16.</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§1362.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§1362.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