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1495-C</w:t>
        <w:t xml:space="preserve">.  </w:t>
      </w:r>
      <w:r>
        <w:rPr>
          <w:b/>
        </w:rPr>
        <w:t xml:space="preserve">Penalties</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payroll processor is subject to a civil penalty or a civil forfeiture in accordance with the following.</w:t>
      </w:r>
    </w:p>
    <w:p>
      <w:pPr>
        <w:jc w:val="both"/>
        <w:spacing w:before="100" w:after="0"/>
        <w:ind w:start="720"/>
      </w:pPr>
      <w:r>
        <w:rPr/>
        <w:t>A</w:t>
        <w:t xml:space="preserve">.  </w:t>
      </w:r>
      <w:r>
        <w:rPr/>
      </w:r>
      <w:r>
        <w:t xml:space="preserve">A payroll processor that fails to provide the disclosure statement required by </w:t>
      </w:r>
      <w:r>
        <w:t>section 1495‑B</w:t>
      </w:r>
      <w:r>
        <w:t xml:space="preserve"> to an employer for which it provides payroll processing services commits a civil violation for which a forfeiture of not less than $50 nor more than $250 may be adjudged.  Each failure to notify a particular client constitutes a separate violation for the purposes of this section.  An action for a civil violation under this subsection must be brought within 2 years after the date on which disclosure should have been made.  An owner or operator of a payroll processor may not be held liable for a civil violation under this subsection if that person shows by a preponderance of the evidence that the violation was unintentional.</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720"/>
      </w:pPr>
      <w:r>
        <w:rPr/>
        <w:t>B</w:t>
        <w:t xml:space="preserve">.  </w:t>
      </w:r>
      <w:r>
        <w:rPr/>
      </w:r>
      <w:r>
        <w:t xml:space="preserve">A payroll processor that conducts business in this State and fails to obtain a license from the administrator as required by </w:t>
      </w:r>
      <w:r>
        <w:t>section 1495‑D</w:t>
      </w:r>
      <w:r>
        <w:t xml:space="preserve"> commits a civil violation for which a penalty of not less than $1,500 nor more than $7,500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668, §5 (AMD);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w:t>
      </w:r>
    </w:p>
    <w:p>
      <w:pPr>
        <w:jc w:val="both"/>
        <w:spacing w:before="100" w:after="0"/>
        <w:ind w:start="360"/>
        <w:ind w:firstLine="360"/>
      </w:pPr>
      <w:r>
        <w:rPr>
          <w:b/>
        </w:rPr>
        <w:t>2</w:t>
        <w:t xml:space="preserve">.  </w:t>
      </w:r>
      <w:r>
        <w:rPr>
          <w:b/>
        </w:rPr>
        <w:t xml:space="preserve">Criminal violations.</w:t>
        <w:t xml:space="preserve"> </w:t>
      </w:r>
      <w:r>
        <w:t xml:space="preserve"> </w:t>
      </w:r>
      <w:r>
        <w:t xml:space="preserve">A payroll processor is a fiduciary for purposes of </w:t>
      </w:r>
      <w:r>
        <w:t>Title 17‑A, section 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§5 (AMD).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§1495-C.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§1495-C.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§1495-C.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