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§1495-G. Contracts and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§1495-G. Contracts and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§1495-G. CONTRACTS AND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