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1500-E</w:t>
        <w:t xml:space="preserve">.  </w:t>
      </w:r>
      <w:r>
        <w:rPr>
          <w:b/>
        </w:rPr>
        <w:t xml:space="preserve">Other remedies</w:t>
      </w:r>
    </w:p>
    <w:p>
      <w:pPr>
        <w:jc w:val="both"/>
        <w:spacing w:before="100" w:after="0"/>
        <w:ind w:start="360"/>
        <w:ind w:firstLine="360"/>
      </w:pPr>
      <w:r>
        <w:rPr>
          <w:b/>
        </w:rPr>
        <w:t>1</w:t>
        <w:t xml:space="preserve">.  </w:t>
      </w:r>
      <w:r>
        <w:rPr>
          <w:b/>
        </w:rPr>
        <w:t xml:space="preserve">Rights.</w:t>
        <w:t xml:space="preserve"> </w:t>
      </w:r>
      <w:r>
        <w:t xml:space="preserve"> </w:t>
      </w:r>
      <w:r>
        <w:t xml:space="preserve">This section may not be construed to limit rights or remedies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100"/>
        <w:ind w:start="360"/>
        <w:ind w:firstLine="360"/>
      </w:pPr>
      <w:r>
        <w:rPr>
          <w:b/>
        </w:rPr>
        <w:t>2</w:t>
        <w:t xml:space="preserve">.  </w:t>
      </w:r>
      <w:r>
        <w:rPr>
          <w:b/>
        </w:rPr>
        <w:t xml:space="preserve">Enforcement.</w:t>
        <w:t xml:space="preserve"> </w:t>
      </w:r>
      <w:r>
        <w:t xml:space="preserve"> </w:t>
      </w:r>
      <w:r>
        <w:t xml:space="preserve">A consumer may bring an action to recover for damages caused by a violation of this chapter.  The court shall award a consumer who prevails in such an action twice the amount of any pecuniary loss, plus reasonable costs and attorney's fees.</w:t>
      </w:r>
    </w:p>
    <w:p>
      <w:pPr>
        <w:jc w:val="both"/>
        <w:spacing w:before="100" w:after="0"/>
        <w:ind w:start="360"/>
      </w:pPr>
      <w:r>
        <w:rPr/>
      </w:r>
      <w:r>
        <w:rPr/>
      </w:r>
      <w:r>
        <w:t xml:space="preserve">It is a valid defense to an action brought under this subsection if, at the time of sale, the dealer had no reasonable way of knowing that the device was intended to be used within manufacturer specifications by the consumer as an assistive device as defined by </w:t>
      </w:r>
      <w:r>
        <w:t>section 1500,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§1500-E.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§1500-E.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§1500-E.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