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 person who, for that person or on behalf of any other person, procures the filing or registration of any mark in the office of the Secretary of State under this chapter, by knowingly making any false or fraudulent representation or declaration, verbally or in writing, or by any other fraudulent means, is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2023, c. 2,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2023, c. 2, Pt. C,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§1528. Fraudulent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Fraudulent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§1528. FRAUDULENT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