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Municipal standards and equipment</w:t>
      </w:r>
    </w:p>
    <w:p>
      <w:pPr>
        <w:jc w:val="both"/>
        <w:spacing w:before="100" w:after="100"/>
        <w:ind w:start="360"/>
        <w:ind w:firstLine="360"/>
      </w:pPr>
      <w:r>
        <w:rPr/>
      </w:r>
      <w:r>
        <w:rPr/>
      </w:r>
      <w:r>
        <w:t xml:space="preserve">The municipal officers of each municipality for which a sealer has been appointed as provided for by </w:t>
      </w:r>
      <w:r>
        <w:t>section 2451</w:t>
      </w:r>
      <w:r>
        <w:t xml:space="preserve"> shall procure at the expense of the municipality, such standards of weight and measure and such additional equipment to be used in the enforcement of this chapter in such municipality, as may be prescribed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§2354. Municipal standards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Municipal standards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§2354. MUNICIPAL STANDARDS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