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Investigations</w:t>
      </w:r>
    </w:p>
    <w:p>
      <w:pPr>
        <w:jc w:val="both"/>
        <w:spacing w:before="100" w:after="100"/>
        <w:ind w:start="360"/>
        <w:ind w:firstLine="360"/>
      </w:pPr>
      <w:r>
        <w:rPr/>
      </w:r>
      <w:r>
        <w:rPr/>
      </w:r>
      <w:r>
        <w:t xml:space="preserve">The state sealer shall investigate complaints made to the state sealer concerning violations of this chapter, and shall, upon the state sealer's own initiative, conduct such investigations as the state sealer considers appropriate and advisable to develop information on prevailing procedures in commercial quantity determination and on possible violations of this chapter and to promote the general objective of accuracy in the determination and representation of quantity in commercial transactions.</w:t>
      </w:r>
      <w:r>
        <w:t xml:space="preserve">  </w:t>
      </w:r>
      <w:r xmlns:wp="http://schemas.openxmlformats.org/drawingml/2010/wordprocessingDrawing" xmlns:w15="http://schemas.microsoft.com/office/word/2012/wordml">
        <w:rPr>
          <w:rFonts w:ascii="Arial" w:hAnsi="Arial" w:cs="Arial"/>
          <w:sz w:val="22"/>
          <w:szCs w:val="22"/>
        </w:rPr>
        <w:t xml:space="preserve">[RR 2023, c. 2, Pt. C,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§2405.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§2405.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