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§2623. Method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Method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§2623. METHOD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