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Sale of property; redemption; pro rata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§3259. SALE OF PROPERTY; REDEMPTION; PRO RATA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