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that debt against a processor, either in an action to foreclose the claimant's lien or in a separate action. The claimant is not required to state in an affidavit to procure an attachment that the claimant's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[RR 2023, c. 2, Pt. C, §77 (COR).]</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The processor may also, on motion duly noticed, introduce evidence to the court before whom any such action is pending to the effect that the processor has sufficient security or money on deposit with the commissioner to protect the lien or other rights of plaintiff.  If the processor does so, the court may order the release of a portion or the whole of the product upon which the lien of plaintiff is attached and deny to plaintiff any recovery in that action.  Such action by the court does not prejudice any other rights or remedies that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§§77,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§3327. PERSONAL ACTION TO RECOVER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