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Powers</w:t>
      </w:r>
    </w:p>
    <w:p>
      <w:pPr>
        <w:jc w:val="both"/>
        <w:spacing w:before="100" w:after="100"/>
        <w:ind w:start="360"/>
        <w:ind w:firstLine="360"/>
      </w:pPr>
      <w:r>
        <w:rPr/>
      </w:r>
      <w:r>
        <w:rPr/>
      </w:r>
      <w:r>
        <w:t xml:space="preserve">The corporation has all the powers necessary or convenient to carry out this chapter including, without limitation, those general powers provided to a nonprofit corporation by the Maine Nonprofit Corporation Act, </w:t>
      </w:r>
      <w:r>
        <w:t>Title 13‑B</w:t>
      </w:r>
      <w:r>
        <w:t xml:space="preserve"> and including, but not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corporation may accept gifts, grants, bequests or devises from any source, including funds from the Federal Government or any of its political subdivisions, and may do any acts necessary, useful, desirable or convenient in connection with procuring acceptance or disposition of gifts, grants, requests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Cooperation with public and private entities.</w:t>
        <w:t xml:space="preserve"> </w:t>
      </w:r>
      <w:r>
        <w:t xml:space="preserve"> </w:t>
      </w:r>
      <w:r>
        <w:t xml:space="preserve">The corporation may cooperate fully with any public and private entities as necessary, useful, desirable or convenient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Acceptance of proposals for connections.</w:t>
        <w:t xml:space="preserve"> </w:t>
      </w:r>
      <w:r>
        <w:t xml:space="preserve"> </w:t>
      </w:r>
      <w:r>
        <w:t xml:space="preserve">The corporation shall request and receive proposals from public and private entities to finance, permit, construct or operate any natural gas or electric transmission lines necessary to connect the facilities of any transmission and distribution utilities and natural gas customers in the northern part of the State with the transmission grid and natural gas transmission system outside of northern Maine in the United States or Canada, and may approve those proposals if they are in keeping with the intent of this chapter.  If the corporation approves a project, the authority may separately consider providing financing for the project pursuant to </w:t>
      </w:r>
      <w:r>
        <w:t>section 1053, subsection 6, paragraph F</w:t>
      </w:r>
      <w:r>
        <w:t xml:space="preserve"> if the proponent of the project submits a completed application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§8 (AMD).]</w:t>
      </w:r>
    </w:p>
    <w:p>
      <w:pPr>
        <w:jc w:val="both"/>
        <w:spacing w:before="100" w:after="0"/>
        <w:ind w:start="360"/>
        <w:ind w:firstLine="360"/>
      </w:pPr>
      <w:r>
        <w:rPr>
          <w:b/>
        </w:rPr>
        <w:t>4</w:t>
        <w:t xml:space="preserve">.  </w:t>
      </w:r>
      <w:r>
        <w:rPr>
          <w:b/>
        </w:rPr>
        <w:t xml:space="preserve">Conduct studies.</w:t>
        <w:t xml:space="preserve"> </w:t>
      </w:r>
      <w:r>
        <w:t xml:space="preserve"> </w:t>
      </w:r>
      <w:r>
        <w:t xml:space="preserve">The corporation may conduct or fund such studies, including, but not limited to, feasibility studies, as may be necessary and convenient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corporation may adopt any rule, including rules establishing its bylaws, necessary or useful for carrying out any of its powers or duties.  Rules adopted under this subsection may provide for fees charged for review of project applications.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6</w:t>
        <w:t xml:space="preserve">.  </w:t>
      </w:r>
      <w:r>
        <w:rPr>
          <w:b/>
        </w:rPr>
        <w:t xml:space="preserve">Contracts.</w:t>
        <w:t xml:space="preserve"> </w:t>
      </w:r>
      <w:r>
        <w:t xml:space="preserve"> </w:t>
      </w:r>
      <w:r>
        <w:t xml:space="preserve">The corporation may enter into contracts with the authority for the provision of administrative and underwriting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