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Limitation of powers</w:t>
      </w:r>
    </w:p>
    <w:p>
      <w:pPr>
        <w:jc w:val="both"/>
        <w:spacing w:before="100" w:after="100"/>
        <w:ind w:start="360"/>
        <w:ind w:firstLine="360"/>
      </w:pPr>
      <w:r>
        <w:rPr/>
      </w:r>
      <w:r>
        <w:rPr/>
      </w:r>
      <w:r>
        <w:t xml:space="preserve">The foundation, notwithstanding the foregoing, shall have no power or authority to enter into contracts, obligations or commitments of any kind on behalf of the State or any of its agencies, nor shall it have the power of eminent domain or any other power not provided to business corporations generally. Bonds, notes and other evidences of indebtedness of the foundation shall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§921.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§921.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