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Liability of officers, directors</w:t>
      </w:r>
    </w:p>
    <w:p>
      <w:pPr>
        <w:jc w:val="both"/>
        <w:spacing w:before="100" w:after="100"/>
        <w:ind w:start="360"/>
        <w:ind w:firstLine="360"/>
      </w:pPr>
      <w:r>
        <w:rPr/>
      </w:r>
      <w:r>
        <w:rPr/>
      </w:r>
      <w:r>
        <w:t xml:space="preserve">All officers, directors, employees and other agents of the foundation entrusted with the custody of the securities of or authorized to disburse the funds of the foundation shall be bonded, either by a blanket bond or by individual bonds, with a surety bond or bonds with a minimum limitation of $100,000 coverage for each person covered thereby, conditioned upon the faithful performance of their duties, the premiums for which shall be paid out of the assets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§922. Liability of officers,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Liability of officers,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§922. LIABILITY OF OFFICERS,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