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§9725. FIRE AND BUILDING-RELATED CODES AND STANDARDS REMAIN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