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WAREHOUSE RECEIPTS, BILLS OF LADING AND OTHER 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7. WAREHOUSE RECEIPTS, BILLS OF LADING AND OTHER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WAREHOUSE RECEIPTS, BILLS OF LADING AND OTHER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7. WAREHOUSE RECEIPTS, BILLS OF LADING AND OTHER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