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§2-1307. Priority of liens arising by attachment or levy on, security interests in and other claims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§2-1307. Priority of liens arising by attachment or levy on, security interests in and other claims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§2-1307. PRIORITY OF LIENS ARISING BY ATTACHMENT OR LEVY ON, SECURITY INTERESTS IN AND OTHER CLAIMS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