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01. Insecurity; adequate assurance of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1. Insecurity; adequate assurance of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1. INSECURITY; ADEQUATE ASSURANCE OF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