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3-1410</w:t>
        <w:t xml:space="preserve">.  </w:t>
      </w:r>
      <w:r>
        <w:rPr>
          <w:b/>
        </w:rPr>
        <w:t xml:space="preserve">Acceptance varying draft</w:t>
      </w:r>
    </w:p>
    <w:p>
      <w:pPr>
        <w:jc w:val="both"/>
        <w:spacing w:before="100" w:after="0"/>
        <w:ind w:start="360"/>
        <w:ind w:firstLine="360"/>
      </w:pPr>
      <w:r>
        <w:rPr>
          <w:b/>
        </w:rPr>
        <w:t>(1)</w:t>
        <w:t xml:space="preserve">.  </w:t>
      </w:r>
      <w:r>
        <w:rPr>
          <w:b/>
        </w:rPr>
      </w:r>
      <w:r>
        <w:t xml:space="preserve"> </w:t>
      </w:r>
      <w:r>
        <w:t xml:space="preserve">If the terms of a drawee's acceptance vary from the terms of the draft as presented, the holder may refuse the acceptance and treat the draft as dishonored.  In that case, the drawee may cancel the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The terms of a draft are not varied by an acceptance to pay at a particular bank or place in the United States, unless the acceptance states that the draft is to be paid only at that bank or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the holder assents to an acceptance varying the terms of a draft, the obligation of each drawer and indorser that does not expressly assent to the acceptance is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§3-1410. Acceptance varying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§3-1410. Acceptance varying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§3-1410. ACCEPTANCE VARYING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