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UNTIL 7/01/25)</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7/01/25)</w:t>
        <w:t xml:space="preserve"> </w:t>
      </w:r>
      <w:r>
        <w:rPr/>
      </w:r>
      <w:r>
        <w:t xml:space="preserve">By agreeing not to sue or otherwise renouncing rights against the party by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§37 (AMD); PL 2023, c. 669, Pt. E, §1 (AFF).]</w:t>
      </w:r>
    </w:p>
    <w:p>
      <w:pPr>
        <w:jc w:val="both"/>
        <w:spacing w:before="100" w:after="0"/>
        <w:ind w:start="360"/>
      </w:pPr>
      <w:r>
        <w:rPr/>
      </w:r>
      <w:r>
        <w:rPr>
          <w:b/>
        </w:rPr>
        <w:t>(TEXT EFFECTIVE 7/01/25)</w:t>
        <w:t xml:space="preserve"> </w:t>
      </w:r>
      <w:r>
        <w:rPr/>
      </w:r>
      <w: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§§37, 38 (AMD); PL 2023, c. 669, Pt. E, §1 (AFF).]</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§§37, 38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§3-1604. DISCHARGE BY CANCELLATION OR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