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§7-1307. Lien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§7-1307. LIEN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