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8-1209</w:t>
        <w:t xml:space="preserve">.  </w:t>
      </w:r>
      <w:r>
        <w:rPr>
          <w:b/>
        </w:rPr>
        <w:t xml:space="preserve">Issuer's lien</w:t>
      </w:r>
    </w:p>
    <w:p>
      <w:pPr>
        <w:jc w:val="both"/>
        <w:spacing w:before="100" w:after="100"/>
        <w:ind w:start="360"/>
        <w:ind w:firstLine="360"/>
      </w:pPr>
      <w:r>
        <w:rPr/>
      </w:r>
      <w:r>
        <w:rPr/>
      </w:r>
      <w:r>
        <w:t xml:space="preserve">A lien in favor of an issuer upon a certificated security is valid against a purchaser only if the right of the issuer to the lien is noted conspicuously on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§8-1209. Issuer's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§8-1209. Issuer's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§8-1209. ISSUER'S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