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8-1303</w:t>
        <w:t xml:space="preserve">.  </w:t>
      </w:r>
      <w:r>
        <w:rPr>
          <w:b/>
        </w:rPr>
        <w:t xml:space="preserve">Protected purchaser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"Protected purchaser" means a purchaser of a certificated or uncertificated security or of an interest in a certificated or uncertificated security who:</w:t>
      </w:r>
    </w:p>
    <w:p>
      <w:pPr>
        <w:jc w:val="both"/>
        <w:spacing w:before="100" w:after="0"/>
        <w:ind w:start="720"/>
      </w:pPr>
      <w:r>
        <w:rPr/>
        <w:t>(a)</w:t>
        <w:t xml:space="preserve">.  </w:t>
      </w:r>
      <w:r>
        <w:rPr/>
      </w:r>
      <w:r>
        <w:t xml:space="preserve">Gives value;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Does not have notice of any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Obtains control of the certificated or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In addition to acquiring the rights of a purchaser, a protected purchaser also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protected purchaser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§64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2023, c. 669, Pt. A, §64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§8-1303. Protected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§8-1303. Protected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§8-1303. PROTECTED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