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9-1319</w:t>
        <w:t xml:space="preserve">.  </w:t>
      </w:r>
      <w:r>
        <w:rPr>
          <w:b/>
        </w:rPr>
        <w:t xml:space="preserve">Rights and title of consignee with respect to creditors and purchasers</w:t>
      </w:r>
    </w:p>
    <w:p>
      <w:pPr>
        <w:jc w:val="both"/>
        <w:spacing w:before="100" w:after="0"/>
        <w:ind w:start="360"/>
        <w:ind w:firstLine="360"/>
      </w:pPr>
      <w:r>
        <w:rPr>
          <w:b/>
        </w:rPr>
        <w:t>(1)</w:t>
        <w:t xml:space="preserve">.  </w:t>
      </w:r>
      <w:r>
        <w:rPr>
          <w:b/>
        </w:rPr>
      </w:r>
      <w:r>
        <w:t xml:space="preserve"> </w:t>
      </w:r>
      <w:r>
        <w:t xml:space="preserve">Except as otherwise provided in </w:t>
      </w:r>
      <w:r>
        <w:t>subsection (2)</w:t>
      </w:r>
      <w:r>
        <w:t xml:space="preserve">,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determining the rights of a creditor of a consignee, law other than this Article determines the rights and title of a consignee while goods are in the consignee's possession if, under this Part, a perfected security interest held by the consignor would have priority over the rights of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§9-1319. Rights and title of consignee with respect to creditors and purchasers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§9-1319. Rights and title of consignee with respect to creditors and purchasers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§9-1319. RIGHTS AND TITLE OF CONSIGNEE WITH RESPECT TO CREDITORS AND PURCHASERS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