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9-1325</w:t>
        <w:t xml:space="preserve">.  </w:t>
      </w:r>
      <w:r>
        <w:rPr>
          <w:b/>
        </w:rPr>
        <w:t xml:space="preserve">Priority of security interests in transferred collateral</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security interest created by a debtor is subordinate to a security interest in the same collateral created by another person if:</w:t>
      </w:r>
    </w:p>
    <w:p>
      <w:pPr>
        <w:jc w:val="both"/>
        <w:spacing w:before="100" w:after="0"/>
        <w:ind w:start="720"/>
      </w:pPr>
      <w:r>
        <w:rPr/>
        <w:t>(a)</w:t>
        <w:t xml:space="preserve">.  </w:t>
      </w:r>
      <w:r>
        <w:rPr/>
      </w:r>
      <w:r>
        <w:t xml:space="preserve">The debtor acquired the collateral subject to the security interest created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created by the other person was perfected when the debtor acquired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There is no period thereafter when the security interest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subordinates a security interest only if the security interest:</w:t>
      </w:r>
    </w:p>
    <w:p>
      <w:pPr>
        <w:jc w:val="both"/>
        <w:spacing w:before="100" w:after="0"/>
        <w:ind w:start="720"/>
      </w:pPr>
      <w:r>
        <w:rPr/>
        <w:t>(a)</w:t>
        <w:t xml:space="preserve">.  </w:t>
      </w:r>
      <w:r>
        <w:rPr/>
      </w:r>
      <w:r>
        <w:t xml:space="preserve">Otherwise would have priority solely under </w:t>
      </w:r>
      <w:r>
        <w:t>section 9‑1322, subsection (1)</w:t>
      </w:r>
      <w:r>
        <w:t xml:space="preserve"> or </w:t>
      </w:r>
      <w:r>
        <w:t>section 9‑1324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Arose solely under </w:t>
      </w:r>
      <w:r>
        <w:t>section 2‑711, subsection (3)</w:t>
      </w:r>
      <w:r>
        <w:t xml:space="preserve"> or </w:t>
      </w:r>
      <w:r>
        <w:t>section 2‑1508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§9-1325. Priority of security interests in transferred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§9-1325. Priority of security interests in transferred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§9-1325. PRIORITY OF SECURITY INTERESTS IN TRANSFERRED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