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10266</w:t>
        <w:t xml:space="preserve">.  </w:t>
      </w:r>
      <w:r>
        <w:rPr>
          <w:b/>
        </w:rPr>
        <w:t xml:space="preserve">Camp North Woods fund</w:t>
      </w:r>
    </w:p>
    <w:p>
      <w:pPr>
        <w:jc w:val="both"/>
        <w:spacing w:before="100" w:after="100"/>
        <w:ind w:start="360"/>
        <w:ind w:firstLine="360"/>
      </w:pPr>
      <w:r>
        <w:rPr/>
      </w:r>
      <w:r>
        <w:rPr/>
      </w:r>
      <w:r>
        <w:t xml:space="preserve">The Camp North Woods fund, referred to in this section as "the fund," is established within the department as a nonlapsing fund to be used by the commissioner to fund the Camp North Woods program established under </w:t>
      </w:r>
      <w:r>
        <w:t>section 10108, subsection 12</w:t>
      </w:r>
      <w:r>
        <w:t xml:space="preserve">. All funds collected by the department from the operation of the Camp North Woods program and any donations, grants or other funds presented to the department for the benefit of the Camp North Woods program must be deposited into the fund. All money deposited in the fund and the earnings on the money remain in the fund to be used for the operation of the Camp North Woods program.  Unexpended balances in the fund at the end of the fiscal year are nonlapsing and must be carried forward to the next fiscal year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2015,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§10266. Camp North Woods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§10266. Camp North Woods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§10266. CAMP NORTH WOODS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