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10404</w:t>
        <w:t xml:space="preserve">.  </w:t>
      </w:r>
      <w:r>
        <w:rPr>
          <w:b/>
        </w:rPr>
        <w:t xml:space="preserve">New Hampshire officers</w:t>
      </w:r>
    </w:p>
    <w:p>
      <w:pPr>
        <w:jc w:val="both"/>
        <w:spacing w:before="100" w:after="100"/>
        <w:ind w:start="360"/>
        <w:ind w:firstLine="360"/>
      </w:pPr>
      <w:r>
        <w:rPr/>
      </w:r>
      <w:r>
        <w:rPr/>
      </w:r>
      <w:r>
        <w:t xml:space="preserve">Whenever a violation of the marine resources laws or the inland fish and wildlife laws of the State of New Hampshire or the State of Maine is committed or attempted to be committed by any person or persons fishing in any waters or portion of any waters lying between New Hampshire and Maine, any warden or other person who is authorized to make arrests for violations of the marine resources laws and the inland fish and wildlife laws of New Hampshire may make arrests on any part of the waters between New Hampshire and Maine or the shores of those waters and to take the person or persons arrested for trial to the state in which the violation was committed and there to prosecute that person or persons according to the laws of that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§10404. New Hampshire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§10404. New Hampshire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§10404. NEW HAMPSHIRE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