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10605</w:t>
        <w:t xml:space="preserve">.  </w:t>
      </w:r>
      <w:r>
        <w:rPr>
          <w:b/>
        </w:rPr>
        <w:t xml:space="preserve">Sentencing alternative; habitual violator</w:t>
      </w:r>
    </w:p>
    <w:p>
      <w:pPr>
        <w:jc w:val="both"/>
        <w:spacing w:before="100" w:after="100"/>
        <w:ind w:start="360"/>
        <w:ind w:firstLine="360"/>
      </w:pPr>
      <w:r>
        <w:rPr>
          <w:b/>
        </w:rPr>
        <w:t>1</w:t>
        <w:t xml:space="preserve">.  </w:t>
      </w:r>
      <w:r>
        <w:rPr>
          <w:b/>
        </w:rPr>
        <w:t xml:space="preserve">Habitual violator defined.</w:t>
        <w:t xml:space="preserve"> </w:t>
      </w:r>
      <w:r>
        <w:t xml:space="preserve"> </w:t>
      </w:r>
      <w:r>
        <w:t xml:space="preserve">For purposes of this section, "habitual violator" means a person whose record, as maintained by the department, shows that:</w:t>
      </w:r>
    </w:p>
    <w:p>
      <w:pPr>
        <w:jc w:val="both"/>
        <w:spacing w:before="100" w:after="0"/>
        <w:ind w:start="720"/>
      </w:pPr>
      <w:r>
        <w:rPr/>
        <w:t>A</w:t>
        <w:t xml:space="preserve">.  </w:t>
      </w:r>
      <w:r>
        <w:rPr/>
      </w:r>
      <w:r>
        <w:t xml:space="preserve">The person has been convicted of 3 or more criminal violations under this Part within the previous 5-year period, except that, whenever more than one criminal violation is committed at the same time, multiple convictions are deemed to be one offense; or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§64 (AMD); PL 2003, c. 655, Pt. B, §422 (AFF).]</w:t>
      </w:r>
    </w:p>
    <w:p>
      <w:pPr>
        <w:jc w:val="both"/>
        <w:spacing w:before="100" w:after="0"/>
        <w:ind w:start="720"/>
      </w:pPr>
      <w:r>
        <w:rPr/>
        <w:t>B</w:t>
        <w:t xml:space="preserve">.  </w:t>
      </w:r>
      <w:r>
        <w:rPr/>
      </w:r>
      <w:r>
        <w:t xml:space="preserve">The person has been adjudicated as having committed 3 or more civil violations under this Part and convicted of 2 or more Class E crimes as a result of such prior adjudications within the previous 5-year period.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§64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§64 (AMD); PL 2003, c. 655, Pt. B, §422 (AFF).]</w:t>
      </w:r>
    </w:p>
    <w:p>
      <w:pPr>
        <w:jc w:val="both"/>
        <w:spacing w:before="100" w:after="0"/>
        <w:ind w:start="360"/>
        <w:ind w:firstLine="360"/>
      </w:pPr>
      <w:r>
        <w:rPr>
          <w:b/>
        </w:rPr>
        <w:t>2</w:t>
        <w:t xml:space="preserve">.  </w:t>
      </w:r>
      <w:r>
        <w:rPr>
          <w:b/>
        </w:rPr>
        <w:t xml:space="preserve">Sentencing alternative for habitual violators.</w:t>
        <w:t xml:space="preserve"> </w:t>
      </w:r>
      <w:r>
        <w:t xml:space="preserve"> </w:t>
      </w:r>
      <w:r>
        <w:t xml:space="preserve">When an habitual violator is convicted of a crime in this Part the court shall impose a sentencing alternative involving not less than 3 days imprisonment, none of which may be suspended, and a fine of not less than $500,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§B64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§10605. Sentencing alternative; habitual violator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§10605. Sentencing alternative; habitual violator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§10605. SENTENCING ALTERNATIVE; HABITUAL VIOLATOR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