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§11158. Migratory game bird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§11158. Migratory game bird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§11158. MIGRATORY GAME BIRD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