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§11211. Unlawful use of firearm in Southport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§11211. UNLAWFUL USE OF FIREARM IN SOUTHPORT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