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§11224. Waste of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§11224. Waste of game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§11224. WASTE OF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