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11352</w:t>
        <w:t xml:space="preserve">.  </w:t>
      </w:r>
      <w:r>
        <w:rPr>
          <w:b/>
        </w:rPr>
        <w:t xml:space="preserve">Bear tags and tagging bear</w:t>
      </w:r>
    </w:p>
    <w:p>
      <w:pPr>
        <w:jc w:val="both"/>
        <w:spacing w:before="100" w:after="0"/>
        <w:ind w:start="360"/>
        <w:ind w:firstLine="360"/>
      </w:pPr>
      <w:r>
        <w:rPr>
          <w:b/>
        </w:rPr>
        <w:t>1</w:t>
        <w:t xml:space="preserve">.  </w:t>
      </w:r>
      <w:r>
        <w:rPr>
          <w:b/>
        </w:rPr>
        <w:t xml:space="preserve">Bear tags.</w:t>
        <w:t xml:space="preserve"> </w:t>
      </w:r>
      <w:r>
        <w:t xml:space="preserve"> </w:t>
      </w:r>
      <w:r>
        <w:t xml:space="preserve">The commissioner shall prescribe the form and content of and produce a bear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bear for registration, a person may not possess or leave in the field or forest a bear killed by that person unless the bear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§11352. Bear tags and tagging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§11352. Bear tags and tagging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§11352. BEAR TAGS AND TAGGING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