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§13003. Payment of sales or use tax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Payment of sales or use tax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§13003. PAYMENT OF SALES OR USE TAX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