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Operating airmobile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§13070. OPERATING AIRMOBILE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