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§13161. Sale of ATV; light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§13161. Sale of ATV; light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§13161. SALE OF ATV; LIGHT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