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Hearing; determination</w:t>
      </w:r>
    </w:p>
    <w:p>
      <w:pPr>
        <w:jc w:val="both"/>
        <w:spacing w:before="100" w:after="100"/>
        <w:ind w:start="360"/>
        <w:ind w:firstLine="360"/>
      </w:pPr>
      <w:r>
        <w:rPr/>
      </w:r>
      <w:r>
        <w:rPr/>
      </w:r>
      <w:r>
        <w:t xml:space="preserve">Within 30 days after such a petition has been filed with the Department of Agriculture, Conservation and Forestry,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and upon all questions relevant to such inquiries. All occupiers of land within the limits of the territory described in the petition, and of lands within any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further hearing shall be given throughout the entire area considered for inclusion in the district, and such further hearing held. After such hearing, if the committee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the boundaries of such district. In making such determination and in defining such boundaries, the Department of Agriculture, Conservation and Forestry shall give due weight and consideration to the topography of the area considered and of the state, the composition of soils in the proposed district, the distribution of erosion, the prevailing land-use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districts already organized under this chapter, and such other physical, geographical and economic factors as are relevant. The territory to be included within such boundaries need not be contiguous. If the Department of Agriculture, Conservation and Forestry shall determine after such hearing, after due consideration of the said relevant facts, that there is no need for a soil and water conservation district to function in the territory, or any part thereof, considered at the hearing, it shall make and record such determination and shall deny the petition. After 6 months shall have expired from the date of the denial of any such petition, subsequent petitions covering the same or substantially the same territory may be filed, new hearings held and determinations made thereon.</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§§15,15-A (AMD). 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 Hearing;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Hearing;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§152. HEARING;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