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w:t>
        <w:t xml:space="preserve">.  </w:t>
      </w:r>
      <w:r>
        <w:rPr>
          <w:b/>
        </w:rPr>
        <w:t xml:space="preserve">Petition for additional territory</w:t>
      </w:r>
    </w:p>
    <w:p>
      <w:pPr>
        <w:jc w:val="both"/>
        <w:spacing w:before="100" w:after="100"/>
        <w:ind w:start="360"/>
        <w:ind w:firstLine="360"/>
      </w:pPr>
      <w:r>
        <w:rPr/>
      </w:r>
      <w:r>
        <w:rPr/>
      </w:r>
      <w:r>
        <w:t xml:space="preserve">Petitions for including additional territory within an existing district may be filed with the Department of Agriculture, Conservation and Forestry, and the proceedings provided for in the case of petitions to organize a district shall be observed in the case of petitions for such inclusion. Where the total number of land occupiers in the area proposed for inclusion shall be less than 25, the petition may be filed when signed by a majority of the occupiers of such area, and in such case no hearing or referendum need be held. In referenda upon petitions for such inclusion, all occupiers of land lying within the proposed additional area shall be eligible to vote.</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477, §1 (AMD). PL 1995, c. 532, §17 (AMD).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§158. Petition for additional territory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 Petition for additional territory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§158. PETITION FOR ADDITIONAL TERRITORY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