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Grant licenses and permits</w:t>
      </w:r>
    </w:p>
    <w:p>
      <w:pPr>
        <w:jc w:val="both"/>
        <w:spacing w:before="100" w:after="100"/>
        <w:ind w:start="360"/>
        <w:ind w:firstLine="360"/>
      </w:pPr>
      <w:r>
        <w:rPr/>
      </w:r>
      <w:r>
        <w:rPr/>
      </w:r>
      <w:r>
        <w:t xml:space="preserve">Consistent with </w:t>
      </w:r>
      <w:r>
        <w:t>section 598‑A</w:t>
      </w:r>
      <w:r>
        <w:t xml:space="preserve">, with the consent of the Governor and the commissioner, the bureau, by revocable license or agreement, may grant to any person, firm or corporation exclusive rights and privileges to the use and enjoyment of portions of lands acquired or managed under this subchapter.  Any license or agreement granted or entered into must be canceled or revoked after due notice of intention to cancel or revoke the license or agreement by action of the bureau when the use for which that license was given has been abandoned or materially modified or whenever the conditions imposed in any license or agreement have been broken.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§1816. Grant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Grant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§1816. GRANT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