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Accept and receive federal funds</w:t>
      </w:r>
    </w:p>
    <w:p>
      <w:pPr>
        <w:jc w:val="both"/>
        <w:spacing w:before="100" w:after="100"/>
        <w:ind w:start="360"/>
        <w:ind w:firstLine="360"/>
      </w:pPr>
      <w:r>
        <w:rPr/>
      </w:r>
      <w:r>
        <w:rPr/>
      </w:r>
      <w:r>
        <w:t xml:space="preserve">The bureau may accept and receive funds from the Federal Government for all purposes relating to parks, recreation trails, recreation areas and property included in the National Register of Historic Places as defined in 16 United States Code, </w:t>
      </w:r>
      <w:r>
        <w:t>Section 470</w:t>
      </w:r>
      <w:r>
        <w:t xml:space="preserve"> a. (a)(1)(P. L. 89-665). The Treasurer of State is the appropriate fiscal officer to receive such federal funds and the funds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§1824. Accept and receive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Accept and receive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§1824. ACCEPT AND RECEIVE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