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1891-M</w:t>
        <w:t xml:space="preserve">.  </w:t>
      </w:r>
      <w:r>
        <w:rPr>
          <w:b/>
        </w:rPr>
        <w:t xml:space="preserve">Types of volunteer or intern services</w:t>
      </w:r>
    </w:p>
    <w:p>
      <w:pPr>
        <w:jc w:val="both"/>
        <w:spacing w:before="100" w:after="100"/>
        <w:ind w:start="360"/>
        <w:ind w:firstLine="360"/>
      </w:pPr>
      <w:r>
        <w:rPr/>
      </w:r>
      <w:r>
        <w:rPr/>
      </w:r>
      <w:r>
        <w:t xml:space="preserve">Volunteers and interns may perform work and services that are described in </w:t>
      </w:r>
      <w:r>
        <w:t>section 1891‑B</w:t>
      </w:r>
      <w:r>
        <w:t xml:space="preserve">. Volunteers and interns must be placed in federal, state or local public agencies or in nonprofit organizations and perform work or services that benefit the public.  The volunteer and intern positions must be sponsored by natural resource-related agencies or organizations.  Volunteers or interns may not attempt to influence legislation, engage in protests, petitions, boycotts, strikes, union organizing or political campaigning or support religious activities or engage in religious proselytizing or fund-raising for private nonprofit organizations as SERVE/Maine volunteers or interns.  A sponsoring agency must contribute to a volunteer or intern position by providing all necessary supervision, supplies, equipment and plans required for the position.</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§1891-M. Types of volunteer or intern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§1891-M. Types of volunteer or intern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§1891-M. TYPES OF VOLUNTEER OR INTERN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