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Agriculture, Conservation and Forestry to preserve, protect and enhance the land resources of the State of Maine; to encourage the wise use of the scenic, mineral and forest resources of the State of Maine and ensure that coordinated planning for the future allocation of lands for recreational, forest production, mining and other public and private uses is effectively accomplished; and to provide for the effective management of public lands in the State of Maine. The Department of Agriculture, Conservation and Forestry consists of a Commissioner of Agriculture, Conservation and Forestry, referred to in this Part as the "commissioner," appointed by the Governor and subject to review by the joint standing committee of the Legislature having jurisdiction over conservation matters and to confirmation by the Legislature, to serve at the pleasure of the Governor; and the following entities as previously created or established are incorporated into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3, §3 (AMD); PL 2011, c. 657, Pt. W, §§5, 6 (REV).]</w:t>
      </w:r>
    </w:p>
    <w:p>
      <w:pPr>
        <w:jc w:val="both"/>
        <w:spacing w:before="100" w:after="0"/>
        <w:ind w:start="360"/>
        <w:ind w:firstLine="360"/>
      </w:pPr>
      <w:r>
        <w:rPr>
          <w:b/>
        </w:rPr>
        <w:t>1</w:t>
        <w:t xml:space="preserve">.  </w:t>
      </w:r>
      <w:r>
        <w:rPr>
          <w:b/>
        </w:rPr>
        <w:t xml:space="preserve">Forestry.</w:t>
        <w:t xml:space="preserve"> </w:t>
      </w:r>
      <w:r>
        <w:t xml:space="preserve"> </w:t>
      </w:r>
      <w:r>
        <w:t xml:space="preserve">Forestry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2</w:t>
        <w:t xml:space="preserve">.  </w:t>
      </w:r>
      <w:r>
        <w:rPr>
          <w:b/>
        </w:rPr>
        <w:t xml:space="preserve">Parks and recreation.</w:t>
        <w:t xml:space="preserve"> </w:t>
      </w:r>
      <w:r>
        <w:t xml:space="preserve"> </w:t>
      </w:r>
      <w:r>
        <w:t xml:space="preserve">Parks and Recreation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3</w:t>
        <w:t xml:space="preserve">.  </w:t>
      </w:r>
      <w:r>
        <w:rPr>
          <w:b/>
        </w:rPr>
        <w:t xml:space="preserve">Forest authority.</w:t>
        <w:t xml:space="preserve"> </w:t>
      </w:r>
      <w:r>
        <w:t xml:space="preserve"> </w:t>
      </w:r>
      <w:r>
        <w:t xml:space="preserve">Maine Forest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4</w:t>
        <w:t xml:space="preserve">.  </w:t>
      </w:r>
      <w:r>
        <w:rPr>
          <w:b/>
        </w:rPr>
        <w:t xml:space="preserve">Mining bureau.</w:t>
        <w:t xml:space="preserve"> </w:t>
      </w:r>
      <w:r>
        <w:t xml:space="preserve"> </w:t>
      </w:r>
      <w:r>
        <w:t xml:space="preserve">Maine Mining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§11 (RP).]</w:t>
      </w:r>
    </w:p>
    <w:p>
      <w:pPr>
        <w:jc w:val="both"/>
        <w:spacing w:before="100" w:after="0"/>
        <w:ind w:start="360"/>
        <w:ind w:firstLine="360"/>
      </w:pPr>
      <w:r>
        <w:rPr>
          <w:b/>
        </w:rPr>
        <w:t>6</w:t>
        <w:t xml:space="preserve">.  </w:t>
      </w:r>
      <w:r>
        <w:rPr>
          <w:b/>
        </w:rPr>
        <w:t xml:space="preserve">Allagash waterway.</w:t>
        <w:t xml:space="preserve"> </w:t>
      </w:r>
      <w:r>
        <w:t xml:space="preserve"> </w:t>
      </w:r>
      <w:r>
        <w:t xml:space="preserve">Allagash Wilderness Waterway;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7</w:t>
        <w:t xml:space="preserve">.  </w:t>
      </w:r>
      <w:r>
        <w:rPr>
          <w:b/>
        </w:rPr>
        <w:t xml:space="preserve">Land use planning commission.</w:t>
        <w:t xml:space="preserve"> </w:t>
      </w:r>
      <w:r>
        <w:t xml:space="preserve"> </w:t>
      </w:r>
      <w:r>
        <w:t xml:space="preserve">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491, §§1,3 (NEW). PL 1971, c. 622, §§50-A (RP). PL 1973, c. 460, §16 (NEW). PL 1975, c. 771, §156 (AMD). PL 1977, c. 78, §107 (AMD). PL 1989, c. 878, Pt. B, §11 (AMD). PL 1993, c. 685, §B1 (AMD). PL 1995, c. 3, §3 (AMD). PL 2011, c. 657, Pt. W, §§5, 6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