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544-L</w:t>
        <w:t xml:space="preserve">.  </w:t>
      </w:r>
      <w:r>
        <w:rPr>
          <w:b/>
        </w:rPr>
        <w:t xml:space="preserve">Field investigations, explorations and recovery operations</w:t>
      </w:r>
    </w:p>
    <w:p>
      <w:pPr>
        <w:jc w:val="both"/>
        <w:spacing w:before="100" w:after="100"/>
        <w:ind w:start="360"/>
        <w:ind w:firstLine="360"/>
      </w:pPr>
      <w:r>
        <w:rPr/>
      </w:r>
      <w:r>
        <w:rPr/>
      </w:r>
      <w:r>
        <w:t xml:space="preserve">All field investigations, explorations and recovery operations in a cave must ensure that the ability to recover and preserve historic, scientific, archaeological and educational information is not impeded.  The excavation or removal of an artifact, object, specimen or material from a cave on state-controlled land, as those terms are defined in </w:t>
      </w:r>
      <w:r>
        <w:t>Title 27, section 373‑A</w:t>
      </w:r>
      <w:r>
        <w:t xml:space="preserve">, is subject to the provisions governing excavation and removal of state-owned objects and specimens under </w:t>
      </w:r>
      <w:r>
        <w:t>Title 27,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§544-L. Field investigations, explorations and recovery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§544-L. Field investigations, explorations and recovery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§544-L. FIELD INVESTIGATIONS, EXPLORATIONS AND RECOVERY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