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6125</w:t>
        <w:t xml:space="preserve">.  </w:t>
      </w:r>
      <w:r>
        <w:rPr>
          <w:b/>
        </w:rPr>
        <w:t xml:space="preserve">Rules</w:t>
      </w:r>
    </w:p>
    <w:p>
      <w:pPr>
        <w:jc w:val="both"/>
        <w:spacing w:before="100" w:after="100"/>
        <w:ind w:start="360"/>
        <w:ind w:firstLine="360"/>
      </w:pPr>
      <w:r>
        <w:rPr/>
      </w:r>
      <w:r>
        <w:rPr/>
      </w:r>
      <w:r>
        <w:t xml:space="preserve">The Department of Marine Resources and the Department of  Inland Fisheries and Wildlife shall jointly make rules defining "fish kill."</w:t>
      </w:r>
      <w:r>
        <w:t xml:space="preserve">  </w:t>
      </w:r>
      <w:r xmlns:wp="http://schemas.openxmlformats.org/drawingml/2010/wordprocessingDrawing" xmlns:w15="http://schemas.microsoft.com/office/word/2012/wordml">
        <w:rPr>
          <w:rFonts w:ascii="Arial" w:hAnsi="Arial" w:cs="Arial"/>
          <w:sz w:val="22"/>
          <w:szCs w:val="22"/>
        </w:rPr>
        <w:t xml:space="preserve">[PL 1989,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