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6132</w:t>
        <w:t xml:space="preserve">.  </w:t>
      </w:r>
      <w:r>
        <w:rPr>
          <w:b/>
        </w:rPr>
        <w:t xml:space="preserve">Natural Fish Die-off Clean-up Program</w:t>
      </w:r>
    </w:p>
    <w:p>
      <w:pPr>
        <w:jc w:val="both"/>
        <w:spacing w:before="100" w:after="100"/>
        <w:ind w:start="360"/>
        <w:ind w:firstLine="360"/>
      </w:pPr>
      <w:r>
        <w:rPr/>
      </w:r>
      <w:r>
        <w:rPr/>
      </w:r>
      <w:r>
        <w:t xml:space="preserve">Upon the request of any affected municipality, the Department of Marine Resources shall assess the extent and severity of public nuisance and potential threats to public health posed by natural fish die-offs.  The department shall provide technical advice and, subject to the limits of available funding, financial assistance to the affected municipalities in the conduct of any cleanup or other mitigating measures.</w:t>
      </w:r>
      <w:r>
        <w:t xml:space="preserve">  </w:t>
      </w:r>
      <w:r xmlns:wp="http://schemas.openxmlformats.org/drawingml/2010/wordprocessingDrawing" xmlns:w15="http://schemas.microsoft.com/office/word/2012/wordml">
        <w:rPr>
          <w:rFonts w:ascii="Arial" w:hAnsi="Arial" w:cs="Arial"/>
          <w:sz w:val="22"/>
          <w:szCs w:val="22"/>
        </w:rPr>
        <w:t xml:space="preserve">[PL 1987, c. 459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786 (NEW). PL 1987, c. 459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§6132. Natural Fish Die-off Clean-up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§6132. Natural Fish Die-off Clean-up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§6132. NATURAL FISH DIE-OFF CLEAN-UP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